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2012 293 vom 11. Dezember 2012</w:t>
      </w:r>
    </w:p>
    <w:p>
      <w:r>
        <w:t>BL Gerichte, 2012-12-11, DE</w:t>
      </w:r>
    </w:p>
    <w:p>
      <w:r>
        <w:rPr>
          <w:b/>
        </w:rPr>
        <w:t xml:space="preserve">Quelle: </w:t>
      </w:r>
      <w:r>
        <w:t>https://mcp.opencaselaw.ch/entscheid/bl_gerichte_470 2012 293</w:t>
      </w:r>
    </w:p>
    <w:p>
      <w:r>
        <w:t>FR: BL_GERICHTE 470 2012 293 du 11 décembre 2012</w:t>
      </w:r>
    </w:p>
    <w:p>
      <w:r>
        <w:t>IT: BL_GERICHTE 470 2012 293 del 11 dicembre 2012</w:t>
      </w:r>
    </w:p>
    <w:p>
      <w:pPr>
        <w:pStyle w:val="Heading2"/>
      </w:pPr>
      <w:r>
        <w:t>Regeste</w:t>
      </w:r>
    </w:p>
    <w:p>
      <w:r>
        <w:t>Nichtanhandnahme des Verfahrens</w:t>
      </w:r>
    </w:p>
    <w:p>
      <w:pPr>
        <w:pStyle w:val="Heading2"/>
      </w:pPr>
      <w:r>
        <w:t>Erwägungen</w:t>
      </w:r>
    </w:p>
    <w:p>
      <w:r>
        <w:rPr>
          <w:b/>
        </w:rPr>
        <w:t>E. 5</w:t>
      </w:r>
    </w:p>
    <w:p>
      <w:r>
        <w:t>Gemäss Art. 428 Abs. 1 StPO tragen die Parteien die Kosten des Rechtsmittelverfahrens nach Massgabe ihres Obsiegens oder Unterliegens. Entsprechend dem Ausgang des vorliegenden Verfahrens gehen die ordentlichen Kosten des Kantonsgerichts in der Höhe von CHF 1'500.– zuzüglich Auslagen von pauschal CHF 50.– (vgl. § 13 Abs. 1 der Verordnung vom 15. November 2010 über die Gebühren der Gerichte, SGS 170.31) zu Lasten der Beschwerdeführerin. Der Beschwerdeführerin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